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A9" w:rsidRDefault="007F23A9" w:rsidP="007F23A9">
      <w:pPr>
        <w:spacing w:after="0" w:line="240" w:lineRule="auto"/>
        <w:jc w:val="center"/>
        <w:rPr>
          <w:rFonts w:ascii="Garamond" w:hAnsi="Garamond" w:cs="Calibri"/>
          <w:b/>
          <w:sz w:val="26"/>
          <w:szCs w:val="26"/>
          <w:u w:val="single"/>
        </w:rPr>
      </w:pPr>
      <w:r w:rsidRPr="007B6098">
        <w:rPr>
          <w:rFonts w:eastAsia="Times New Roman"/>
          <w:noProof/>
          <w:sz w:val="16"/>
          <w:szCs w:val="16"/>
        </w:rPr>
        <w:drawing>
          <wp:inline distT="0" distB="0" distL="0" distR="0" wp14:anchorId="7CCB8A41" wp14:editId="2783CDFC">
            <wp:extent cx="2560320" cy="338328"/>
            <wp:effectExtent l="0" t="0" r="0" b="5080"/>
            <wp:docPr id="1" name="Picture 1" descr="cid:072b2584-0e81-4789-8577-a9e4d9af6674@gulottala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72b2584-0e81-4789-8577-a9e4d9af6674@gulottalaw.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60320" cy="338328"/>
                    </a:xfrm>
                    <a:prstGeom prst="rect">
                      <a:avLst/>
                    </a:prstGeom>
                    <a:noFill/>
                    <a:ln>
                      <a:noFill/>
                    </a:ln>
                  </pic:spPr>
                </pic:pic>
              </a:graphicData>
            </a:graphic>
          </wp:inline>
        </w:drawing>
      </w:r>
    </w:p>
    <w:p w:rsidR="007F23A9" w:rsidRDefault="007F23A9" w:rsidP="00157288">
      <w:pPr>
        <w:spacing w:after="0" w:line="240" w:lineRule="auto"/>
        <w:jc w:val="center"/>
        <w:rPr>
          <w:rFonts w:ascii="Garamond" w:hAnsi="Garamond" w:cs="Calibri"/>
          <w:b/>
          <w:sz w:val="26"/>
          <w:szCs w:val="26"/>
          <w:u w:val="single"/>
        </w:rPr>
      </w:pPr>
    </w:p>
    <w:p w:rsidR="008B1C48" w:rsidRPr="007F23A9" w:rsidRDefault="00047D45" w:rsidP="007F23A9">
      <w:pPr>
        <w:spacing w:after="0" w:line="240" w:lineRule="auto"/>
        <w:jc w:val="center"/>
        <w:rPr>
          <w:rFonts w:ascii="Garamond" w:hAnsi="Garamond" w:cs="Calibri"/>
          <w:b/>
          <w:sz w:val="26"/>
          <w:szCs w:val="26"/>
          <w:u w:val="single"/>
        </w:rPr>
      </w:pPr>
      <w:r>
        <w:rPr>
          <w:rFonts w:ascii="Garamond" w:hAnsi="Garamond" w:cs="Calibri"/>
          <w:b/>
          <w:sz w:val="26"/>
          <w:szCs w:val="26"/>
          <w:u w:val="single"/>
        </w:rPr>
        <w:t xml:space="preserve">OCC Guidelines: </w:t>
      </w:r>
      <w:r w:rsidR="009130C9" w:rsidRPr="00047D45">
        <w:rPr>
          <w:rFonts w:ascii="Garamond" w:hAnsi="Garamond" w:cs="Calibri"/>
          <w:b/>
          <w:sz w:val="26"/>
          <w:szCs w:val="26"/>
          <w:u w:val="single"/>
        </w:rPr>
        <w:t xml:space="preserve">Relaxed Standards for </w:t>
      </w:r>
      <w:r w:rsidR="00506A8E" w:rsidRPr="00047D45">
        <w:rPr>
          <w:rFonts w:ascii="Garamond" w:hAnsi="Garamond" w:cs="Calibri"/>
          <w:b/>
          <w:sz w:val="26"/>
          <w:szCs w:val="26"/>
          <w:u w:val="single"/>
        </w:rPr>
        <w:t xml:space="preserve">Monitoring </w:t>
      </w:r>
      <w:r w:rsidR="009130C9" w:rsidRPr="00047D45">
        <w:rPr>
          <w:rFonts w:ascii="Garamond" w:hAnsi="Garamond" w:cs="Calibri"/>
          <w:b/>
          <w:sz w:val="26"/>
          <w:szCs w:val="26"/>
          <w:u w:val="single"/>
        </w:rPr>
        <w:t>Law Firm Service Providers</w:t>
      </w:r>
      <w:bookmarkStart w:id="0" w:name="_GoBack"/>
      <w:bookmarkEnd w:id="0"/>
    </w:p>
    <w:p w:rsidR="00871094" w:rsidRPr="00302046" w:rsidRDefault="001C706C" w:rsidP="00871094">
      <w:pPr>
        <w:pStyle w:val="ListParagraph"/>
        <w:numPr>
          <w:ilvl w:val="0"/>
          <w:numId w:val="6"/>
        </w:numPr>
        <w:spacing w:after="0" w:line="240" w:lineRule="auto"/>
        <w:rPr>
          <w:rFonts w:ascii="Garamond" w:hAnsi="Garamond" w:cs="Calibri"/>
          <w:sz w:val="23"/>
          <w:szCs w:val="23"/>
        </w:rPr>
      </w:pPr>
      <w:r w:rsidRPr="00302046">
        <w:rPr>
          <w:rFonts w:ascii="Garamond" w:hAnsi="Garamond" w:cs="Calibri"/>
          <w:sz w:val="23"/>
          <w:szCs w:val="23"/>
        </w:rPr>
        <w:t>Pursuant to the</w:t>
      </w:r>
      <w:r w:rsidR="008B1C48" w:rsidRPr="00302046">
        <w:rPr>
          <w:rFonts w:ascii="Garamond" w:hAnsi="Garamond" w:cs="Calibri"/>
          <w:sz w:val="23"/>
          <w:szCs w:val="23"/>
        </w:rPr>
        <w:t xml:space="preserve"> 2001 OCC Interagency Guidelines Establishing Information Security Standards </w:t>
      </w:r>
      <w:r w:rsidR="00BE2F33" w:rsidRPr="00302046">
        <w:rPr>
          <w:rFonts w:ascii="Garamond" w:hAnsi="Garamond" w:cs="Calibri"/>
          <w:sz w:val="23"/>
          <w:szCs w:val="23"/>
        </w:rPr>
        <w:t>(“OCC G</w:t>
      </w:r>
      <w:r w:rsidR="0048763A" w:rsidRPr="00302046">
        <w:rPr>
          <w:rFonts w:ascii="Garamond" w:hAnsi="Garamond" w:cs="Calibri"/>
          <w:sz w:val="23"/>
          <w:szCs w:val="23"/>
        </w:rPr>
        <w:t xml:space="preserve">uidelines”), </w:t>
      </w:r>
      <w:r w:rsidRPr="00302046">
        <w:rPr>
          <w:rFonts w:ascii="Garamond" w:hAnsi="Garamond" w:cs="Calibri"/>
          <w:sz w:val="23"/>
          <w:szCs w:val="23"/>
        </w:rPr>
        <w:t>every regulated Financial Institution must “exercise an appropriate level of oversight over each of its service providers</w:t>
      </w:r>
      <w:r w:rsidR="0048763A" w:rsidRPr="00302046">
        <w:rPr>
          <w:rFonts w:ascii="Garamond" w:hAnsi="Garamond" w:cs="Calibri"/>
          <w:sz w:val="23"/>
          <w:szCs w:val="23"/>
        </w:rPr>
        <w:t xml:space="preserve">.”  </w:t>
      </w:r>
    </w:p>
    <w:p w:rsidR="00871094" w:rsidRPr="00302046" w:rsidRDefault="0048763A" w:rsidP="00871094">
      <w:pPr>
        <w:pStyle w:val="ListParagraph"/>
        <w:numPr>
          <w:ilvl w:val="0"/>
          <w:numId w:val="6"/>
        </w:numPr>
        <w:spacing w:after="0" w:line="240" w:lineRule="auto"/>
        <w:rPr>
          <w:rFonts w:ascii="Garamond" w:hAnsi="Garamond" w:cs="Calibri"/>
          <w:sz w:val="23"/>
          <w:szCs w:val="23"/>
        </w:rPr>
      </w:pPr>
      <w:r w:rsidRPr="00302046">
        <w:rPr>
          <w:rFonts w:ascii="Garamond" w:hAnsi="Garamond" w:cs="Calibri"/>
          <w:sz w:val="23"/>
          <w:szCs w:val="23"/>
        </w:rPr>
        <w:t xml:space="preserve">Financial Institutions are granted </w:t>
      </w:r>
      <w:r w:rsidRPr="00302046">
        <w:rPr>
          <w:rFonts w:ascii="Garamond" w:hAnsi="Garamond" w:cs="Calibri"/>
          <w:b/>
          <w:sz w:val="23"/>
          <w:szCs w:val="23"/>
        </w:rPr>
        <w:t>great flexibility</w:t>
      </w:r>
      <w:r w:rsidRPr="00302046">
        <w:rPr>
          <w:rFonts w:ascii="Garamond" w:hAnsi="Garamond" w:cs="Calibri"/>
          <w:sz w:val="23"/>
          <w:szCs w:val="23"/>
        </w:rPr>
        <w:t xml:space="preserve"> with regard to this oversight, and are </w:t>
      </w:r>
      <w:r w:rsidR="001B5D4A" w:rsidRPr="00302046">
        <w:rPr>
          <w:rFonts w:ascii="Garamond" w:hAnsi="Garamond" w:cs="Calibri"/>
          <w:sz w:val="23"/>
          <w:szCs w:val="23"/>
        </w:rPr>
        <w:t>encouraged</w:t>
      </w:r>
      <w:r w:rsidRPr="00302046">
        <w:rPr>
          <w:rFonts w:ascii="Garamond" w:hAnsi="Garamond" w:cs="Calibri"/>
          <w:sz w:val="23"/>
          <w:szCs w:val="23"/>
        </w:rPr>
        <w:t xml:space="preserve"> to individualize the monitoring process based on the particular characteristics of each service provider.  For example, the OCC Guidelines note that some service providers “</w:t>
      </w:r>
      <w:r w:rsidRPr="00302046">
        <w:rPr>
          <w:rFonts w:ascii="Garamond" w:hAnsi="Garamond" w:cs="Calibri"/>
          <w:b/>
          <w:sz w:val="23"/>
          <w:szCs w:val="23"/>
        </w:rPr>
        <w:t>may already be subject to legal and professional standards</w:t>
      </w:r>
      <w:r w:rsidRPr="00302046">
        <w:rPr>
          <w:rFonts w:ascii="Garamond" w:hAnsi="Garamond" w:cs="Calibri"/>
          <w:sz w:val="23"/>
          <w:szCs w:val="23"/>
        </w:rPr>
        <w:t xml:space="preserve"> that require them to safeguard the [Financial Institution’s] customer information.”</w:t>
      </w:r>
      <w:r w:rsidR="00FE24CE" w:rsidRPr="00302046">
        <w:rPr>
          <w:rFonts w:ascii="Garamond" w:hAnsi="Garamond" w:cs="Calibri"/>
          <w:sz w:val="23"/>
          <w:szCs w:val="23"/>
        </w:rPr>
        <w:t xml:space="preserve">  </w:t>
      </w:r>
      <w:r w:rsidRPr="00302046">
        <w:rPr>
          <w:rFonts w:ascii="Garamond" w:hAnsi="Garamond" w:cs="Calibri"/>
          <w:sz w:val="23"/>
          <w:szCs w:val="23"/>
        </w:rPr>
        <w:t xml:space="preserve">Financial Institutions are encouraged to “do a risk assessment” to “determine for themselves which service providers will need to be monitored.”  </w:t>
      </w:r>
    </w:p>
    <w:p w:rsidR="00AA61B2" w:rsidRPr="00302046" w:rsidRDefault="00AA61B2" w:rsidP="00871094">
      <w:pPr>
        <w:pStyle w:val="ListParagraph"/>
        <w:numPr>
          <w:ilvl w:val="0"/>
          <w:numId w:val="6"/>
        </w:numPr>
        <w:spacing w:after="0" w:line="240" w:lineRule="auto"/>
        <w:rPr>
          <w:rFonts w:ascii="Garamond" w:hAnsi="Garamond" w:cs="Calibri"/>
          <w:sz w:val="23"/>
          <w:szCs w:val="23"/>
        </w:rPr>
      </w:pPr>
      <w:r w:rsidRPr="00302046">
        <w:rPr>
          <w:rFonts w:ascii="Garamond" w:hAnsi="Garamond" w:cs="Calibri"/>
          <w:sz w:val="23"/>
          <w:szCs w:val="23"/>
        </w:rPr>
        <w:t xml:space="preserve">Law firms, as a key service provider to </w:t>
      </w:r>
      <w:r w:rsidR="001E4348" w:rsidRPr="00302046">
        <w:rPr>
          <w:rFonts w:ascii="Garamond" w:hAnsi="Garamond" w:cs="Calibri"/>
          <w:sz w:val="23"/>
          <w:szCs w:val="23"/>
        </w:rPr>
        <w:t>Financial I</w:t>
      </w:r>
      <w:r w:rsidRPr="00302046">
        <w:rPr>
          <w:rFonts w:ascii="Garamond" w:hAnsi="Garamond" w:cs="Calibri"/>
          <w:sz w:val="23"/>
          <w:szCs w:val="23"/>
        </w:rPr>
        <w:t xml:space="preserve">nstitutions, are already subject to a variety of legal and professional standards that require them to safeguard the </w:t>
      </w:r>
      <w:r w:rsidR="00EB0B2C" w:rsidRPr="00302046">
        <w:rPr>
          <w:rFonts w:ascii="Garamond" w:hAnsi="Garamond" w:cs="Calibri"/>
          <w:sz w:val="23"/>
          <w:szCs w:val="23"/>
        </w:rPr>
        <w:t>Financial Institutions’</w:t>
      </w:r>
      <w:r w:rsidRPr="00302046">
        <w:rPr>
          <w:rFonts w:ascii="Garamond" w:hAnsi="Garamond" w:cs="Calibri"/>
          <w:sz w:val="23"/>
          <w:szCs w:val="23"/>
        </w:rPr>
        <w:t xml:space="preserve"> </w:t>
      </w:r>
      <w:r w:rsidR="003E362B" w:rsidRPr="00302046">
        <w:rPr>
          <w:rFonts w:ascii="Garamond" w:hAnsi="Garamond" w:cs="Calibri"/>
          <w:sz w:val="23"/>
          <w:szCs w:val="23"/>
        </w:rPr>
        <w:t xml:space="preserve">customer information.  Accordingly, Financial Institutions do not need to monitor law firm service providers with the same level of stringency as other service providers. </w:t>
      </w:r>
      <w:r w:rsidRPr="00302046">
        <w:rPr>
          <w:rFonts w:ascii="Garamond" w:hAnsi="Garamond" w:cs="Calibri"/>
          <w:sz w:val="23"/>
          <w:szCs w:val="23"/>
        </w:rPr>
        <w:t xml:space="preserve">  </w:t>
      </w:r>
    </w:p>
    <w:p w:rsidR="00B06991" w:rsidRDefault="00B06991" w:rsidP="00480FF1">
      <w:pPr>
        <w:spacing w:after="0" w:line="240" w:lineRule="auto"/>
        <w:rPr>
          <w:rFonts w:ascii="Garamond" w:hAnsi="Garamond" w:cs="Calibri"/>
          <w:b/>
          <w:sz w:val="26"/>
          <w:szCs w:val="26"/>
          <w:u w:val="single"/>
        </w:rPr>
      </w:pPr>
    </w:p>
    <w:p w:rsidR="00480FF1" w:rsidRPr="00047D45" w:rsidRDefault="00480FF1" w:rsidP="00480FF1">
      <w:pPr>
        <w:spacing w:after="0" w:line="240" w:lineRule="auto"/>
        <w:rPr>
          <w:rFonts w:ascii="Garamond" w:hAnsi="Garamond" w:cs="Calibri"/>
          <w:sz w:val="26"/>
          <w:szCs w:val="26"/>
        </w:rPr>
      </w:pPr>
      <w:r w:rsidRPr="00047D45">
        <w:rPr>
          <w:rFonts w:ascii="Garamond" w:hAnsi="Garamond" w:cs="Calibri"/>
          <w:b/>
          <w:sz w:val="26"/>
          <w:szCs w:val="26"/>
          <w:u w:val="single"/>
        </w:rPr>
        <w:t>Legal Standards</w:t>
      </w:r>
      <w:r w:rsidRPr="00047D45">
        <w:rPr>
          <w:rFonts w:ascii="Garamond" w:hAnsi="Garamond" w:cs="Calibri"/>
          <w:sz w:val="26"/>
          <w:szCs w:val="26"/>
        </w:rPr>
        <w:t xml:space="preserve">: </w:t>
      </w:r>
    </w:p>
    <w:p w:rsidR="00480FF1" w:rsidRPr="00302046" w:rsidRDefault="00480FF1" w:rsidP="00480FF1">
      <w:pPr>
        <w:spacing w:after="0" w:line="240" w:lineRule="auto"/>
        <w:rPr>
          <w:rFonts w:ascii="Garamond" w:hAnsi="Garamond" w:cs="Calibri"/>
          <w:sz w:val="23"/>
          <w:szCs w:val="23"/>
        </w:rPr>
      </w:pPr>
      <w:r w:rsidRPr="00302046">
        <w:rPr>
          <w:rFonts w:ascii="Garamond" w:hAnsi="Garamond" w:cs="Calibri"/>
          <w:sz w:val="23"/>
          <w:szCs w:val="23"/>
        </w:rPr>
        <w:t xml:space="preserve">Law firms are subject to </w:t>
      </w:r>
      <w:r w:rsidR="00B16D4E" w:rsidRPr="00302046">
        <w:rPr>
          <w:rFonts w:ascii="Garamond" w:hAnsi="Garamond" w:cs="Calibri"/>
          <w:sz w:val="23"/>
          <w:szCs w:val="23"/>
        </w:rPr>
        <w:t>the highest</w:t>
      </w:r>
      <w:r w:rsidRPr="00302046">
        <w:rPr>
          <w:rFonts w:ascii="Garamond" w:hAnsi="Garamond" w:cs="Calibri"/>
          <w:sz w:val="23"/>
          <w:szCs w:val="23"/>
        </w:rPr>
        <w:t xml:space="preserve"> legal standards.  Laws requiring the safeguarding of customer information include: </w:t>
      </w:r>
    </w:p>
    <w:p w:rsidR="00480FF1" w:rsidRPr="00302046" w:rsidRDefault="00480FF1" w:rsidP="00480FF1">
      <w:pPr>
        <w:pStyle w:val="ListParagraph"/>
        <w:numPr>
          <w:ilvl w:val="0"/>
          <w:numId w:val="5"/>
        </w:numPr>
        <w:spacing w:after="0" w:line="240" w:lineRule="auto"/>
        <w:rPr>
          <w:rFonts w:ascii="Garamond" w:hAnsi="Garamond" w:cs="Calibri"/>
          <w:sz w:val="23"/>
          <w:szCs w:val="23"/>
        </w:rPr>
      </w:pPr>
      <w:r w:rsidRPr="00302046">
        <w:rPr>
          <w:rFonts w:ascii="Garamond" w:hAnsi="Garamond" w:cs="Calibri"/>
          <w:b/>
          <w:sz w:val="23"/>
          <w:szCs w:val="23"/>
        </w:rPr>
        <w:t>Gramm-Leach-Bliley Act</w:t>
      </w:r>
      <w:r w:rsidR="003E410F" w:rsidRPr="00302046">
        <w:rPr>
          <w:rFonts w:ascii="Garamond" w:hAnsi="Garamond" w:cs="Calibri"/>
          <w:sz w:val="23"/>
          <w:szCs w:val="23"/>
        </w:rPr>
        <w:t xml:space="preserve">:  There is no exception in the GLB Act for law firms.  Consequently, a law firm that is significantly engaged in one or more of the financial activities listed in the </w:t>
      </w:r>
      <w:r w:rsidR="003D44EB" w:rsidRPr="00302046">
        <w:rPr>
          <w:rFonts w:ascii="Garamond" w:hAnsi="Garamond" w:cs="Calibri"/>
          <w:sz w:val="23"/>
          <w:szCs w:val="23"/>
        </w:rPr>
        <w:t>Act’s regulations</w:t>
      </w:r>
      <w:r w:rsidR="003E410F" w:rsidRPr="00302046">
        <w:rPr>
          <w:rFonts w:ascii="Garamond" w:hAnsi="Garamond" w:cs="Calibri"/>
          <w:sz w:val="23"/>
          <w:szCs w:val="23"/>
        </w:rPr>
        <w:t xml:space="preserve">, including real estate settlement services, tax return preparation, and tax planning, is subject to the Act’s privacy notice. </w:t>
      </w:r>
      <w:r w:rsidRPr="00302046">
        <w:rPr>
          <w:rFonts w:ascii="Garamond" w:hAnsi="Garamond" w:cs="Calibri"/>
          <w:sz w:val="23"/>
          <w:szCs w:val="23"/>
        </w:rPr>
        <w:t xml:space="preserve"> </w:t>
      </w:r>
    </w:p>
    <w:p w:rsidR="00F53BFD" w:rsidRPr="00302046" w:rsidRDefault="00F53BFD" w:rsidP="00F53BFD">
      <w:pPr>
        <w:pStyle w:val="ListParagraph"/>
        <w:numPr>
          <w:ilvl w:val="0"/>
          <w:numId w:val="5"/>
        </w:numPr>
        <w:spacing w:after="0" w:line="240" w:lineRule="auto"/>
        <w:rPr>
          <w:rFonts w:ascii="Garamond" w:hAnsi="Garamond" w:cs="Calibri"/>
          <w:b/>
          <w:sz w:val="23"/>
          <w:szCs w:val="23"/>
        </w:rPr>
      </w:pPr>
      <w:r w:rsidRPr="00302046">
        <w:rPr>
          <w:rFonts w:ascii="Garamond" w:hAnsi="Garamond" w:cs="Calibri"/>
          <w:b/>
          <w:sz w:val="23"/>
          <w:szCs w:val="23"/>
        </w:rPr>
        <w:t xml:space="preserve">Federal Trade Commission </w:t>
      </w:r>
      <w:r w:rsidR="00334562" w:rsidRPr="00302046">
        <w:rPr>
          <w:rFonts w:ascii="Garamond" w:hAnsi="Garamond" w:cs="Calibri"/>
          <w:b/>
          <w:sz w:val="23"/>
          <w:szCs w:val="23"/>
        </w:rPr>
        <w:t>Act</w:t>
      </w:r>
      <w:r w:rsidR="00334562" w:rsidRPr="00302046">
        <w:rPr>
          <w:rFonts w:ascii="Garamond" w:hAnsi="Garamond" w:cs="Calibri"/>
          <w:sz w:val="23"/>
          <w:szCs w:val="23"/>
        </w:rPr>
        <w:t xml:space="preserve">: </w:t>
      </w:r>
      <w:r w:rsidR="00334562" w:rsidRPr="00302046">
        <w:rPr>
          <w:rFonts w:ascii="Garamond" w:hAnsi="Garamond" w:cs="Calibri"/>
          <w:b/>
          <w:sz w:val="23"/>
          <w:szCs w:val="23"/>
        </w:rPr>
        <w:t xml:space="preserve"> </w:t>
      </w:r>
      <w:r w:rsidR="00334562" w:rsidRPr="00302046">
        <w:rPr>
          <w:rFonts w:ascii="Garamond" w:hAnsi="Garamond" w:cs="Calibri"/>
          <w:sz w:val="23"/>
          <w:szCs w:val="23"/>
        </w:rPr>
        <w:t xml:space="preserve">Key </w:t>
      </w:r>
      <w:r w:rsidR="00930088" w:rsidRPr="00302046">
        <w:rPr>
          <w:rFonts w:ascii="Garamond" w:hAnsi="Garamond" w:cs="Calibri"/>
          <w:sz w:val="23"/>
          <w:szCs w:val="23"/>
        </w:rPr>
        <w:t xml:space="preserve">data security </w:t>
      </w:r>
      <w:r w:rsidR="00334562" w:rsidRPr="00302046">
        <w:rPr>
          <w:rFonts w:ascii="Garamond" w:hAnsi="Garamond" w:cs="Calibri"/>
          <w:sz w:val="23"/>
          <w:szCs w:val="23"/>
        </w:rPr>
        <w:t xml:space="preserve">regulations governing law firms include the FTC Privacy Rule, FTC Safeguards Rule, and FTC Disposal Rule. </w:t>
      </w:r>
    </w:p>
    <w:p w:rsidR="00D047F9" w:rsidRPr="00302046" w:rsidRDefault="00763757" w:rsidP="00D047F9">
      <w:pPr>
        <w:pStyle w:val="ListParagraph"/>
        <w:numPr>
          <w:ilvl w:val="0"/>
          <w:numId w:val="5"/>
        </w:numPr>
        <w:spacing w:after="0" w:line="240" w:lineRule="auto"/>
        <w:rPr>
          <w:rFonts w:ascii="Garamond" w:hAnsi="Garamond" w:cs="Calibri"/>
          <w:b/>
          <w:sz w:val="23"/>
          <w:szCs w:val="23"/>
        </w:rPr>
      </w:pPr>
      <w:r w:rsidRPr="00302046">
        <w:rPr>
          <w:rFonts w:ascii="Garamond" w:hAnsi="Garamond" w:cs="Calibri"/>
          <w:b/>
          <w:sz w:val="23"/>
          <w:szCs w:val="23"/>
        </w:rPr>
        <w:t>Fair and Accurate Credit Transactions Act</w:t>
      </w:r>
      <w:r w:rsidRPr="00302046">
        <w:rPr>
          <w:rFonts w:ascii="Garamond" w:hAnsi="Garamond" w:cs="Calibri"/>
          <w:sz w:val="23"/>
          <w:szCs w:val="23"/>
        </w:rPr>
        <w:t>:</w:t>
      </w:r>
      <w:r w:rsidR="00D047F9" w:rsidRPr="00302046">
        <w:rPr>
          <w:rFonts w:ascii="Garamond" w:hAnsi="Garamond" w:cs="Calibri"/>
          <w:sz w:val="23"/>
          <w:szCs w:val="23"/>
        </w:rPr>
        <w:t xml:space="preserve">  Law firms subject to the FTC and GLB Act</w:t>
      </w:r>
      <w:r w:rsidR="001A502C" w:rsidRPr="00302046">
        <w:rPr>
          <w:rFonts w:ascii="Garamond" w:hAnsi="Garamond" w:cs="Calibri"/>
          <w:sz w:val="23"/>
          <w:szCs w:val="23"/>
        </w:rPr>
        <w:t>s</w:t>
      </w:r>
      <w:r w:rsidR="00D047F9" w:rsidRPr="00302046">
        <w:rPr>
          <w:rFonts w:ascii="Garamond" w:hAnsi="Garamond" w:cs="Calibri"/>
          <w:sz w:val="23"/>
          <w:szCs w:val="23"/>
        </w:rPr>
        <w:t xml:space="preserve"> must develop and implement a written id</w:t>
      </w:r>
      <w:r w:rsidR="00393365" w:rsidRPr="00302046">
        <w:rPr>
          <w:rFonts w:ascii="Garamond" w:hAnsi="Garamond" w:cs="Calibri"/>
          <w:sz w:val="23"/>
          <w:szCs w:val="23"/>
        </w:rPr>
        <w:t xml:space="preserve">entity theft prevention program. </w:t>
      </w:r>
    </w:p>
    <w:p w:rsidR="00480FF1" w:rsidRPr="00302046" w:rsidRDefault="00480FF1" w:rsidP="00480FF1">
      <w:pPr>
        <w:pStyle w:val="ListParagraph"/>
        <w:numPr>
          <w:ilvl w:val="0"/>
          <w:numId w:val="5"/>
        </w:numPr>
        <w:spacing w:after="0" w:line="240" w:lineRule="auto"/>
        <w:rPr>
          <w:rFonts w:ascii="Garamond" w:hAnsi="Garamond" w:cs="Calibri"/>
          <w:b/>
          <w:sz w:val="23"/>
          <w:szCs w:val="23"/>
        </w:rPr>
      </w:pPr>
      <w:r w:rsidRPr="00302046">
        <w:rPr>
          <w:rFonts w:ascii="Garamond" w:hAnsi="Garamond" w:cs="Calibri"/>
          <w:b/>
          <w:sz w:val="23"/>
          <w:szCs w:val="23"/>
        </w:rPr>
        <w:t>State Laws</w:t>
      </w:r>
      <w:r w:rsidR="0010531A" w:rsidRPr="00302046">
        <w:rPr>
          <w:rFonts w:ascii="Garamond" w:hAnsi="Garamond" w:cs="Calibri"/>
          <w:sz w:val="23"/>
          <w:szCs w:val="23"/>
        </w:rPr>
        <w:t xml:space="preserve">:  </w:t>
      </w:r>
      <w:r w:rsidR="001B6E94" w:rsidRPr="00302046">
        <w:rPr>
          <w:rFonts w:ascii="Garamond" w:hAnsi="Garamond" w:cs="Calibri"/>
          <w:sz w:val="23"/>
          <w:szCs w:val="23"/>
        </w:rPr>
        <w:t xml:space="preserve">Among other things, state laws require law firms to </w:t>
      </w:r>
      <w:r w:rsidR="0010531A" w:rsidRPr="00302046">
        <w:rPr>
          <w:rFonts w:ascii="Garamond" w:hAnsi="Garamond" w:cs="Calibri"/>
          <w:sz w:val="23"/>
          <w:szCs w:val="23"/>
        </w:rPr>
        <w:t>report data brea</w:t>
      </w:r>
      <w:r w:rsidR="001B6E94" w:rsidRPr="00302046">
        <w:rPr>
          <w:rFonts w:ascii="Garamond" w:hAnsi="Garamond" w:cs="Calibri"/>
          <w:sz w:val="23"/>
          <w:szCs w:val="23"/>
        </w:rPr>
        <w:t>ches to interested parties, an</w:t>
      </w:r>
      <w:r w:rsidR="00B0403D" w:rsidRPr="00302046">
        <w:rPr>
          <w:rFonts w:ascii="Garamond" w:hAnsi="Garamond" w:cs="Calibri"/>
          <w:sz w:val="23"/>
          <w:szCs w:val="23"/>
        </w:rPr>
        <w:t xml:space="preserve">d properly dispose of sensitive customer information </w:t>
      </w:r>
      <w:r w:rsidR="00E028D4" w:rsidRPr="00302046">
        <w:rPr>
          <w:rFonts w:ascii="Garamond" w:hAnsi="Garamond" w:cs="Calibri"/>
          <w:sz w:val="23"/>
          <w:szCs w:val="23"/>
        </w:rPr>
        <w:t xml:space="preserve">when </w:t>
      </w:r>
      <w:r w:rsidR="00B0403D" w:rsidRPr="00302046">
        <w:rPr>
          <w:rFonts w:ascii="Garamond" w:hAnsi="Garamond" w:cs="Calibri"/>
          <w:sz w:val="23"/>
          <w:szCs w:val="23"/>
        </w:rPr>
        <w:t xml:space="preserve">no longer needed. </w:t>
      </w:r>
    </w:p>
    <w:p w:rsidR="00B06991" w:rsidRDefault="00B06991">
      <w:pPr>
        <w:spacing w:after="0" w:line="240" w:lineRule="auto"/>
        <w:rPr>
          <w:rFonts w:ascii="Garamond" w:hAnsi="Garamond" w:cs="Calibri"/>
          <w:b/>
          <w:sz w:val="26"/>
          <w:szCs w:val="26"/>
          <w:u w:val="single"/>
        </w:rPr>
      </w:pPr>
    </w:p>
    <w:p w:rsidR="002B44FD" w:rsidRPr="00047D45" w:rsidRDefault="008C2B6E">
      <w:pPr>
        <w:spacing w:after="0" w:line="240" w:lineRule="auto"/>
        <w:rPr>
          <w:rFonts w:ascii="Garamond" w:hAnsi="Garamond" w:cs="Calibri"/>
          <w:sz w:val="26"/>
          <w:szCs w:val="26"/>
        </w:rPr>
      </w:pPr>
      <w:r w:rsidRPr="00047D45">
        <w:rPr>
          <w:rFonts w:ascii="Garamond" w:hAnsi="Garamond" w:cs="Calibri"/>
          <w:b/>
          <w:sz w:val="26"/>
          <w:szCs w:val="26"/>
          <w:u w:val="single"/>
        </w:rPr>
        <w:t>Professional Standards</w:t>
      </w:r>
      <w:r w:rsidR="002B44FD" w:rsidRPr="00047D45">
        <w:rPr>
          <w:rFonts w:ascii="Garamond" w:hAnsi="Garamond" w:cs="Calibri"/>
          <w:sz w:val="26"/>
          <w:szCs w:val="26"/>
        </w:rPr>
        <w:t xml:space="preserve">: </w:t>
      </w:r>
    </w:p>
    <w:p w:rsidR="00B06991" w:rsidRPr="00302046" w:rsidRDefault="002B44FD" w:rsidP="002E7BDD">
      <w:pPr>
        <w:spacing w:after="0" w:line="240" w:lineRule="auto"/>
        <w:rPr>
          <w:rFonts w:ascii="Garamond" w:hAnsi="Garamond" w:cs="Calibri"/>
          <w:sz w:val="23"/>
          <w:szCs w:val="23"/>
        </w:rPr>
      </w:pPr>
      <w:r w:rsidRPr="00302046">
        <w:rPr>
          <w:rFonts w:ascii="Garamond" w:hAnsi="Garamond" w:cs="Calibri"/>
          <w:sz w:val="23"/>
          <w:szCs w:val="23"/>
        </w:rPr>
        <w:t>Competent representation and confidentiality are at the foundation of the attorney-client relationship.</w:t>
      </w:r>
    </w:p>
    <w:p w:rsidR="002E7BDD" w:rsidRPr="00302046" w:rsidRDefault="002B44FD" w:rsidP="002E7BDD">
      <w:pPr>
        <w:pStyle w:val="ListParagraph"/>
        <w:numPr>
          <w:ilvl w:val="0"/>
          <w:numId w:val="5"/>
        </w:numPr>
        <w:spacing w:after="0" w:line="240" w:lineRule="auto"/>
        <w:rPr>
          <w:rFonts w:ascii="Garamond" w:hAnsi="Garamond" w:cs="Calibri"/>
          <w:sz w:val="23"/>
          <w:szCs w:val="23"/>
        </w:rPr>
      </w:pPr>
      <w:r w:rsidRPr="00302046">
        <w:rPr>
          <w:rFonts w:ascii="Garamond" w:hAnsi="Garamond" w:cs="Calibri"/>
          <w:b/>
          <w:sz w:val="23"/>
          <w:szCs w:val="23"/>
        </w:rPr>
        <w:t>ABA Model Rule 1.1</w:t>
      </w:r>
      <w:r w:rsidRPr="00302046">
        <w:rPr>
          <w:rFonts w:ascii="Garamond" w:hAnsi="Garamond" w:cs="Calibri"/>
          <w:sz w:val="23"/>
          <w:szCs w:val="23"/>
        </w:rPr>
        <w:t xml:space="preserve">, which covers the general duty of competent representation, provides:  “Competent representation requires the legal knowledge, skill, thoroughness and preparation reasonably necessary for the representation.” </w:t>
      </w:r>
    </w:p>
    <w:p w:rsidR="005C375A" w:rsidRPr="00302046" w:rsidRDefault="0069587E" w:rsidP="0069587E">
      <w:pPr>
        <w:pStyle w:val="ListParagraph"/>
        <w:numPr>
          <w:ilvl w:val="1"/>
          <w:numId w:val="5"/>
        </w:numPr>
        <w:spacing w:after="0" w:line="240" w:lineRule="auto"/>
        <w:rPr>
          <w:rFonts w:ascii="Garamond" w:hAnsi="Garamond" w:cs="Calibri"/>
          <w:sz w:val="23"/>
          <w:szCs w:val="23"/>
        </w:rPr>
      </w:pPr>
      <w:r w:rsidRPr="00302046">
        <w:rPr>
          <w:rFonts w:ascii="Garamond" w:hAnsi="Garamond" w:cs="Calibri"/>
          <w:b/>
          <w:sz w:val="23"/>
          <w:szCs w:val="23"/>
        </w:rPr>
        <w:t xml:space="preserve">Comment 8 </w:t>
      </w:r>
      <w:r w:rsidRPr="00302046">
        <w:rPr>
          <w:rFonts w:ascii="Garamond" w:hAnsi="Garamond" w:cs="Calibri"/>
          <w:sz w:val="23"/>
          <w:szCs w:val="23"/>
        </w:rPr>
        <w:t>notes that lawyers “should</w:t>
      </w:r>
      <w:r w:rsidR="005C375A" w:rsidRPr="00302046">
        <w:rPr>
          <w:rFonts w:ascii="Garamond" w:hAnsi="Garamond" w:cs="Calibri"/>
          <w:sz w:val="23"/>
          <w:szCs w:val="23"/>
        </w:rPr>
        <w:t xml:space="preserve"> keep abreast of changes in the law and its practice, including the benefits and risks associated with</w:t>
      </w:r>
      <w:r w:rsidR="008B1C48" w:rsidRPr="00302046">
        <w:rPr>
          <w:rFonts w:ascii="Garamond" w:hAnsi="Garamond" w:cs="Calibri"/>
          <w:sz w:val="23"/>
          <w:szCs w:val="23"/>
        </w:rPr>
        <w:t xml:space="preserve"> relevant </w:t>
      </w:r>
      <w:r w:rsidR="005C375A" w:rsidRPr="00302046">
        <w:rPr>
          <w:rFonts w:ascii="Garamond" w:hAnsi="Garamond" w:cs="Calibri"/>
          <w:sz w:val="23"/>
          <w:szCs w:val="23"/>
        </w:rPr>
        <w:t xml:space="preserve">technology.” </w:t>
      </w:r>
    </w:p>
    <w:p w:rsidR="002E7BDD" w:rsidRPr="00302046" w:rsidRDefault="002B44FD" w:rsidP="002E7BDD">
      <w:pPr>
        <w:pStyle w:val="ListParagraph"/>
        <w:numPr>
          <w:ilvl w:val="0"/>
          <w:numId w:val="5"/>
        </w:numPr>
        <w:spacing w:after="0" w:line="240" w:lineRule="auto"/>
        <w:rPr>
          <w:rFonts w:ascii="Garamond" w:hAnsi="Garamond" w:cs="Calibri"/>
          <w:sz w:val="23"/>
          <w:szCs w:val="23"/>
        </w:rPr>
      </w:pPr>
      <w:r w:rsidRPr="00302046">
        <w:rPr>
          <w:rFonts w:ascii="Garamond" w:hAnsi="Garamond" w:cs="Calibri"/>
          <w:b/>
          <w:sz w:val="23"/>
          <w:szCs w:val="23"/>
        </w:rPr>
        <w:t>ABA Model Rule 1.6</w:t>
      </w:r>
      <w:r w:rsidRPr="00302046">
        <w:rPr>
          <w:rFonts w:ascii="Garamond" w:hAnsi="Garamond" w:cs="Calibri"/>
          <w:sz w:val="23"/>
          <w:szCs w:val="23"/>
        </w:rPr>
        <w:t>, which covers the duty of confidentiality</w:t>
      </w:r>
      <w:r w:rsidR="00A82AB4" w:rsidRPr="00302046">
        <w:rPr>
          <w:rFonts w:ascii="Garamond" w:hAnsi="Garamond" w:cs="Calibri"/>
          <w:sz w:val="23"/>
          <w:szCs w:val="23"/>
        </w:rPr>
        <w:t>, provides:</w:t>
      </w:r>
      <w:r w:rsidR="005C375A" w:rsidRPr="00302046">
        <w:rPr>
          <w:rFonts w:ascii="Garamond" w:hAnsi="Garamond" w:cs="Calibri"/>
          <w:sz w:val="23"/>
          <w:szCs w:val="23"/>
        </w:rPr>
        <w:t xml:space="preserve"> </w:t>
      </w:r>
      <w:r w:rsidR="00A82AB4" w:rsidRPr="00302046">
        <w:rPr>
          <w:rFonts w:ascii="Garamond" w:hAnsi="Garamond" w:cs="Calibri"/>
          <w:sz w:val="23"/>
          <w:szCs w:val="23"/>
        </w:rPr>
        <w:t xml:space="preserve"> </w:t>
      </w:r>
      <w:r w:rsidR="005C375A" w:rsidRPr="00302046">
        <w:rPr>
          <w:rFonts w:ascii="Garamond" w:hAnsi="Garamond" w:cs="Calibri"/>
          <w:sz w:val="23"/>
          <w:szCs w:val="23"/>
        </w:rPr>
        <w:t>“</w:t>
      </w:r>
      <w:r w:rsidR="00A82AB4" w:rsidRPr="00302046">
        <w:rPr>
          <w:rFonts w:ascii="Garamond" w:hAnsi="Garamond" w:cs="Calibri"/>
          <w:sz w:val="23"/>
          <w:szCs w:val="23"/>
        </w:rPr>
        <w:t xml:space="preserve">A lawyer </w:t>
      </w:r>
      <w:r w:rsidR="005C375A" w:rsidRPr="00302046">
        <w:rPr>
          <w:rFonts w:ascii="Garamond" w:hAnsi="Garamond" w:cs="Calibri"/>
          <w:sz w:val="23"/>
          <w:szCs w:val="23"/>
        </w:rPr>
        <w:t xml:space="preserve">shall make reasonable efforts to prevent the </w:t>
      </w:r>
      <w:r w:rsidR="00A82AB4" w:rsidRPr="00302046">
        <w:rPr>
          <w:rFonts w:ascii="Garamond" w:hAnsi="Garamond" w:cs="Calibri"/>
          <w:sz w:val="23"/>
          <w:szCs w:val="23"/>
        </w:rPr>
        <w:t xml:space="preserve">inadvertent or unauthorized disclosure of, or unauthorized access to, </w:t>
      </w:r>
      <w:r w:rsidR="005C375A" w:rsidRPr="00302046">
        <w:rPr>
          <w:rFonts w:ascii="Garamond" w:hAnsi="Garamond" w:cs="Calibri"/>
          <w:sz w:val="23"/>
          <w:szCs w:val="23"/>
        </w:rPr>
        <w:t xml:space="preserve">information relating to the representation of a client.”  </w:t>
      </w:r>
      <w:r w:rsidRPr="00302046">
        <w:rPr>
          <w:rFonts w:ascii="Garamond" w:hAnsi="Garamond" w:cs="Calibri"/>
          <w:sz w:val="23"/>
          <w:szCs w:val="23"/>
        </w:rPr>
        <w:t>It is now commonly accepted in the legal profession that this duty applies to client information in</w:t>
      </w:r>
      <w:r w:rsidR="005B7FA0" w:rsidRPr="00302046">
        <w:rPr>
          <w:rFonts w:ascii="Garamond" w:hAnsi="Garamond" w:cs="Calibri"/>
          <w:sz w:val="23"/>
          <w:szCs w:val="23"/>
        </w:rPr>
        <w:t xml:space="preserve"> </w:t>
      </w:r>
      <w:r w:rsidRPr="00302046">
        <w:rPr>
          <w:rFonts w:ascii="Garamond" w:hAnsi="Garamond" w:cs="Calibri"/>
          <w:sz w:val="23"/>
          <w:szCs w:val="23"/>
        </w:rPr>
        <w:t>computer and information systems.</w:t>
      </w:r>
    </w:p>
    <w:p w:rsidR="00B76D00" w:rsidRPr="00302046" w:rsidRDefault="00DB2784" w:rsidP="00480FF1">
      <w:pPr>
        <w:pStyle w:val="ListParagraph"/>
        <w:numPr>
          <w:ilvl w:val="1"/>
          <w:numId w:val="5"/>
        </w:numPr>
        <w:spacing w:after="0" w:line="240" w:lineRule="auto"/>
        <w:rPr>
          <w:rFonts w:ascii="Garamond" w:hAnsi="Garamond" w:cs="Calibri"/>
          <w:sz w:val="23"/>
          <w:szCs w:val="23"/>
        </w:rPr>
      </w:pPr>
      <w:r w:rsidRPr="00302046">
        <w:rPr>
          <w:rFonts w:ascii="Garamond" w:hAnsi="Garamond" w:cs="Calibri"/>
          <w:b/>
          <w:sz w:val="23"/>
          <w:szCs w:val="23"/>
        </w:rPr>
        <w:t>Comment 18</w:t>
      </w:r>
      <w:r w:rsidR="005B7FA0" w:rsidRPr="00302046">
        <w:rPr>
          <w:rFonts w:ascii="Garamond" w:hAnsi="Garamond" w:cs="Calibri"/>
          <w:b/>
          <w:sz w:val="23"/>
          <w:szCs w:val="23"/>
        </w:rPr>
        <w:t xml:space="preserve"> </w:t>
      </w:r>
      <w:r w:rsidR="00A82AB4" w:rsidRPr="00302046">
        <w:rPr>
          <w:rFonts w:ascii="Garamond" w:hAnsi="Garamond" w:cs="Calibri"/>
          <w:sz w:val="23"/>
          <w:szCs w:val="23"/>
        </w:rPr>
        <w:t xml:space="preserve">notes that lawyers are required “to </w:t>
      </w:r>
      <w:r w:rsidR="00A82AB4" w:rsidRPr="00302046">
        <w:rPr>
          <w:rFonts w:ascii="Garamond" w:hAnsi="Garamond" w:cs="Calibri"/>
          <w:b/>
          <w:sz w:val="23"/>
          <w:szCs w:val="23"/>
        </w:rPr>
        <w:t>act competently to safeguard information relating to the representation of a client</w:t>
      </w:r>
      <w:r w:rsidR="00A82AB4" w:rsidRPr="00302046">
        <w:rPr>
          <w:rFonts w:ascii="Garamond" w:hAnsi="Garamond" w:cs="Calibri"/>
          <w:sz w:val="23"/>
          <w:szCs w:val="23"/>
        </w:rPr>
        <w:t xml:space="preserve"> against unauthorized access by third parties and against inadvertent or unauthorized disclosure by the lawyer or other persons who are participating in the representation of the client or who are subject to the lawyer’s supervision.”   </w:t>
      </w:r>
    </w:p>
    <w:p w:rsidR="00B06991" w:rsidRPr="00302046" w:rsidRDefault="00B06991" w:rsidP="005117A4">
      <w:pPr>
        <w:spacing w:after="0" w:line="240" w:lineRule="auto"/>
        <w:rPr>
          <w:rFonts w:ascii="Garamond" w:hAnsi="Garamond" w:cs="Calibri"/>
          <w:sz w:val="23"/>
          <w:szCs w:val="23"/>
        </w:rPr>
      </w:pPr>
    </w:p>
    <w:p w:rsidR="005117A4" w:rsidRPr="00302046" w:rsidRDefault="005117A4" w:rsidP="00CF527B">
      <w:pPr>
        <w:spacing w:after="0" w:line="240" w:lineRule="auto"/>
        <w:rPr>
          <w:rFonts w:ascii="Garamond" w:hAnsi="Garamond" w:cs="Calibri"/>
          <w:sz w:val="23"/>
          <w:szCs w:val="23"/>
        </w:rPr>
      </w:pPr>
      <w:r w:rsidRPr="00302046">
        <w:rPr>
          <w:rFonts w:ascii="Garamond" w:hAnsi="Garamond" w:cs="Calibri"/>
          <w:sz w:val="23"/>
          <w:szCs w:val="23"/>
        </w:rPr>
        <w:t xml:space="preserve">The ABA Model Rules </w:t>
      </w:r>
      <w:r w:rsidR="00EA2996" w:rsidRPr="00302046">
        <w:rPr>
          <w:rFonts w:ascii="Garamond" w:hAnsi="Garamond" w:cs="Calibri"/>
          <w:sz w:val="23"/>
          <w:szCs w:val="23"/>
        </w:rPr>
        <w:t>observe</w:t>
      </w:r>
      <w:r w:rsidRPr="00302046">
        <w:rPr>
          <w:rFonts w:ascii="Garamond" w:hAnsi="Garamond" w:cs="Calibri"/>
          <w:sz w:val="23"/>
          <w:szCs w:val="23"/>
        </w:rPr>
        <w:t xml:space="preserve"> the existence of</w:t>
      </w:r>
      <w:r w:rsidR="00EA2996" w:rsidRPr="00302046">
        <w:rPr>
          <w:rFonts w:ascii="Garamond" w:hAnsi="Garamond" w:cs="Calibri"/>
          <w:sz w:val="23"/>
          <w:szCs w:val="23"/>
        </w:rPr>
        <w:t xml:space="preserve"> relevant</w:t>
      </w:r>
      <w:r w:rsidRPr="00302046">
        <w:rPr>
          <w:rFonts w:ascii="Garamond" w:hAnsi="Garamond" w:cs="Calibri"/>
          <w:sz w:val="23"/>
          <w:szCs w:val="23"/>
        </w:rPr>
        <w:t xml:space="preserve"> state and federal privacy and data security laws</w:t>
      </w:r>
      <w:r w:rsidR="00CF527B" w:rsidRPr="00302046">
        <w:rPr>
          <w:rFonts w:ascii="Garamond" w:hAnsi="Garamond" w:cs="Calibri"/>
          <w:sz w:val="23"/>
          <w:szCs w:val="23"/>
        </w:rPr>
        <w:t xml:space="preserve"> that apply to attorneys and law firms, but </w:t>
      </w:r>
      <w:r w:rsidR="00036B64" w:rsidRPr="00302046">
        <w:rPr>
          <w:rFonts w:ascii="Garamond" w:hAnsi="Garamond" w:cs="Calibri"/>
          <w:sz w:val="23"/>
          <w:szCs w:val="23"/>
        </w:rPr>
        <w:t>note</w:t>
      </w:r>
      <w:r w:rsidR="00CF527B" w:rsidRPr="00302046">
        <w:rPr>
          <w:rFonts w:ascii="Garamond" w:hAnsi="Garamond" w:cs="Calibri"/>
          <w:sz w:val="23"/>
          <w:szCs w:val="23"/>
        </w:rPr>
        <w:t xml:space="preserve"> that the relevance of these laws is “beyond the scope of </w:t>
      </w:r>
      <w:r w:rsidR="00FD7C23" w:rsidRPr="00302046">
        <w:rPr>
          <w:rFonts w:ascii="Garamond" w:hAnsi="Garamond" w:cs="Calibri"/>
          <w:sz w:val="23"/>
          <w:szCs w:val="23"/>
        </w:rPr>
        <w:t>[the]</w:t>
      </w:r>
      <w:r w:rsidR="00CF527B" w:rsidRPr="00302046">
        <w:rPr>
          <w:rFonts w:ascii="Garamond" w:hAnsi="Garamond" w:cs="Calibri"/>
          <w:sz w:val="23"/>
          <w:szCs w:val="23"/>
        </w:rPr>
        <w:t xml:space="preserve"> Rules.”  </w:t>
      </w:r>
      <w:r w:rsidR="00CF527B" w:rsidRPr="00302046">
        <w:rPr>
          <w:rFonts w:ascii="Garamond" w:hAnsi="Garamond" w:cs="Calibri"/>
          <w:sz w:val="23"/>
          <w:szCs w:val="23"/>
          <w:u w:val="single"/>
        </w:rPr>
        <w:t>See</w:t>
      </w:r>
      <w:r w:rsidR="00CF527B" w:rsidRPr="00302046">
        <w:rPr>
          <w:rFonts w:ascii="Garamond" w:hAnsi="Garamond" w:cs="Calibri"/>
          <w:sz w:val="23"/>
          <w:szCs w:val="23"/>
        </w:rPr>
        <w:t xml:space="preserve"> </w:t>
      </w:r>
      <w:r w:rsidR="00CF527B" w:rsidRPr="00302046">
        <w:rPr>
          <w:rFonts w:ascii="Garamond" w:hAnsi="Garamond" w:cs="Calibri"/>
          <w:b/>
          <w:sz w:val="23"/>
          <w:szCs w:val="23"/>
        </w:rPr>
        <w:t>ABA Model Rule 1.6</w:t>
      </w:r>
      <w:r w:rsidR="00CF527B" w:rsidRPr="00302046">
        <w:rPr>
          <w:rFonts w:ascii="Garamond" w:hAnsi="Garamond" w:cs="Calibri"/>
          <w:sz w:val="23"/>
          <w:szCs w:val="23"/>
        </w:rPr>
        <w:t xml:space="preserve">, </w:t>
      </w:r>
      <w:r w:rsidR="00CF527B" w:rsidRPr="00302046">
        <w:rPr>
          <w:rFonts w:ascii="Garamond" w:hAnsi="Garamond" w:cs="Calibri"/>
          <w:b/>
          <w:sz w:val="23"/>
          <w:szCs w:val="23"/>
        </w:rPr>
        <w:t>Comments 18 and 19</w:t>
      </w:r>
      <w:r w:rsidR="00CF527B" w:rsidRPr="00302046">
        <w:rPr>
          <w:rFonts w:ascii="Garamond" w:hAnsi="Garamond" w:cs="Calibri"/>
          <w:sz w:val="23"/>
          <w:szCs w:val="23"/>
        </w:rPr>
        <w:t xml:space="preserve">. </w:t>
      </w:r>
      <w:r w:rsidRPr="00302046">
        <w:rPr>
          <w:rFonts w:ascii="Garamond" w:hAnsi="Garamond" w:cs="Calibri"/>
          <w:sz w:val="23"/>
          <w:szCs w:val="23"/>
        </w:rPr>
        <w:t xml:space="preserve">  </w:t>
      </w:r>
    </w:p>
    <w:sectPr w:rsidR="005117A4" w:rsidRPr="00302046" w:rsidSect="007F23A9">
      <w:headerReference w:type="default" r:id="rId10"/>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8E" w:rsidRDefault="00506A8E" w:rsidP="00506A8E">
      <w:pPr>
        <w:spacing w:after="0" w:line="240" w:lineRule="auto"/>
      </w:pPr>
      <w:r>
        <w:separator/>
      </w:r>
    </w:p>
  </w:endnote>
  <w:endnote w:type="continuationSeparator" w:id="0">
    <w:p w:rsidR="00506A8E" w:rsidRDefault="00506A8E" w:rsidP="0050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8E" w:rsidRDefault="00506A8E" w:rsidP="00506A8E">
      <w:pPr>
        <w:spacing w:after="0" w:line="240" w:lineRule="auto"/>
      </w:pPr>
      <w:r>
        <w:separator/>
      </w:r>
    </w:p>
  </w:footnote>
  <w:footnote w:type="continuationSeparator" w:id="0">
    <w:p w:rsidR="00506A8E" w:rsidRDefault="00506A8E" w:rsidP="0050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B3" w:rsidRDefault="00B14DB3" w:rsidP="00B14D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725"/>
    <w:multiLevelType w:val="hybridMultilevel"/>
    <w:tmpl w:val="39D87F72"/>
    <w:lvl w:ilvl="0" w:tplc="0AE41E7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971F4B"/>
    <w:multiLevelType w:val="hybridMultilevel"/>
    <w:tmpl w:val="7E6442E0"/>
    <w:lvl w:ilvl="0" w:tplc="4622E1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554E1"/>
    <w:multiLevelType w:val="hybridMultilevel"/>
    <w:tmpl w:val="8A2C45CE"/>
    <w:lvl w:ilvl="0" w:tplc="8280D6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C4458"/>
    <w:multiLevelType w:val="hybridMultilevel"/>
    <w:tmpl w:val="42D8BC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22005A"/>
    <w:multiLevelType w:val="hybridMultilevel"/>
    <w:tmpl w:val="5DB45406"/>
    <w:lvl w:ilvl="0" w:tplc="D4A8E3DE">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306833"/>
    <w:multiLevelType w:val="hybridMultilevel"/>
    <w:tmpl w:val="EEA4C778"/>
    <w:lvl w:ilvl="0" w:tplc="444A3F4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29"/>
    <w:rsid w:val="0000147F"/>
    <w:rsid w:val="0002499C"/>
    <w:rsid w:val="00036B64"/>
    <w:rsid w:val="00047D45"/>
    <w:rsid w:val="000871B3"/>
    <w:rsid w:val="000B2993"/>
    <w:rsid w:val="0010531A"/>
    <w:rsid w:val="00157288"/>
    <w:rsid w:val="001A502C"/>
    <w:rsid w:val="001B5D4A"/>
    <w:rsid w:val="001B6E94"/>
    <w:rsid w:val="001C706C"/>
    <w:rsid w:val="001E4348"/>
    <w:rsid w:val="002B44FD"/>
    <w:rsid w:val="002E7BDD"/>
    <w:rsid w:val="00302046"/>
    <w:rsid w:val="00312729"/>
    <w:rsid w:val="00334562"/>
    <w:rsid w:val="00393365"/>
    <w:rsid w:val="003A03F2"/>
    <w:rsid w:val="003A28D5"/>
    <w:rsid w:val="003D44EB"/>
    <w:rsid w:val="003E362B"/>
    <w:rsid w:val="003E410F"/>
    <w:rsid w:val="00422C26"/>
    <w:rsid w:val="00422FC2"/>
    <w:rsid w:val="00480FF1"/>
    <w:rsid w:val="0048763A"/>
    <w:rsid w:val="00506A8E"/>
    <w:rsid w:val="005117A4"/>
    <w:rsid w:val="00532D5A"/>
    <w:rsid w:val="0058067D"/>
    <w:rsid w:val="005A4AF6"/>
    <w:rsid w:val="005B4A88"/>
    <w:rsid w:val="005B7FA0"/>
    <w:rsid w:val="005C375A"/>
    <w:rsid w:val="0069587E"/>
    <w:rsid w:val="006E652F"/>
    <w:rsid w:val="00702B77"/>
    <w:rsid w:val="00732BC1"/>
    <w:rsid w:val="00744D7F"/>
    <w:rsid w:val="00763757"/>
    <w:rsid w:val="00773D37"/>
    <w:rsid w:val="00793F55"/>
    <w:rsid w:val="007F23A9"/>
    <w:rsid w:val="00834D14"/>
    <w:rsid w:val="00871094"/>
    <w:rsid w:val="008975EF"/>
    <w:rsid w:val="008B1C48"/>
    <w:rsid w:val="008C2B6E"/>
    <w:rsid w:val="009130C9"/>
    <w:rsid w:val="00930088"/>
    <w:rsid w:val="00937F70"/>
    <w:rsid w:val="00940782"/>
    <w:rsid w:val="009F1CF8"/>
    <w:rsid w:val="00A43063"/>
    <w:rsid w:val="00A82AB4"/>
    <w:rsid w:val="00A855C9"/>
    <w:rsid w:val="00A867D2"/>
    <w:rsid w:val="00AA61B2"/>
    <w:rsid w:val="00B0403D"/>
    <w:rsid w:val="00B06991"/>
    <w:rsid w:val="00B14DB3"/>
    <w:rsid w:val="00B16D4E"/>
    <w:rsid w:val="00B7500F"/>
    <w:rsid w:val="00B76D00"/>
    <w:rsid w:val="00BE2F33"/>
    <w:rsid w:val="00C418DC"/>
    <w:rsid w:val="00C81467"/>
    <w:rsid w:val="00CA4B45"/>
    <w:rsid w:val="00CB1B08"/>
    <w:rsid w:val="00CF527B"/>
    <w:rsid w:val="00D047F9"/>
    <w:rsid w:val="00D47F34"/>
    <w:rsid w:val="00DB2784"/>
    <w:rsid w:val="00DD472A"/>
    <w:rsid w:val="00E028D4"/>
    <w:rsid w:val="00E50500"/>
    <w:rsid w:val="00EA2996"/>
    <w:rsid w:val="00EB0B2C"/>
    <w:rsid w:val="00F44807"/>
    <w:rsid w:val="00F46A01"/>
    <w:rsid w:val="00F53BFD"/>
    <w:rsid w:val="00FD7C23"/>
    <w:rsid w:val="00FE24CE"/>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29"/>
    <w:pPr>
      <w:ind w:left="720"/>
      <w:contextualSpacing/>
    </w:pPr>
  </w:style>
  <w:style w:type="paragraph" w:styleId="Header">
    <w:name w:val="header"/>
    <w:basedOn w:val="Normal"/>
    <w:link w:val="HeaderChar"/>
    <w:uiPriority w:val="99"/>
    <w:unhideWhenUsed/>
    <w:rsid w:val="0050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8E"/>
  </w:style>
  <w:style w:type="paragraph" w:styleId="Footer">
    <w:name w:val="footer"/>
    <w:basedOn w:val="Normal"/>
    <w:link w:val="FooterChar"/>
    <w:uiPriority w:val="99"/>
    <w:unhideWhenUsed/>
    <w:rsid w:val="0050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8E"/>
  </w:style>
  <w:style w:type="paragraph" w:styleId="BalloonText">
    <w:name w:val="Balloon Text"/>
    <w:basedOn w:val="Normal"/>
    <w:link w:val="BalloonTextChar"/>
    <w:uiPriority w:val="99"/>
    <w:semiHidden/>
    <w:unhideWhenUsed/>
    <w:rsid w:val="00B1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29"/>
    <w:pPr>
      <w:ind w:left="720"/>
      <w:contextualSpacing/>
    </w:pPr>
  </w:style>
  <w:style w:type="paragraph" w:styleId="Header">
    <w:name w:val="header"/>
    <w:basedOn w:val="Normal"/>
    <w:link w:val="HeaderChar"/>
    <w:uiPriority w:val="99"/>
    <w:unhideWhenUsed/>
    <w:rsid w:val="0050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8E"/>
  </w:style>
  <w:style w:type="paragraph" w:styleId="Footer">
    <w:name w:val="footer"/>
    <w:basedOn w:val="Normal"/>
    <w:link w:val="FooterChar"/>
    <w:uiPriority w:val="99"/>
    <w:unhideWhenUsed/>
    <w:rsid w:val="0050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8E"/>
  </w:style>
  <w:style w:type="paragraph" w:styleId="BalloonText">
    <w:name w:val="Balloon Text"/>
    <w:basedOn w:val="Normal"/>
    <w:link w:val="BalloonTextChar"/>
    <w:uiPriority w:val="99"/>
    <w:semiHidden/>
    <w:unhideWhenUsed/>
    <w:rsid w:val="00B1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72b2584-0e81-4789-8577-a9e4d9af6674@gulotta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Garaufis</dc:creator>
  <cp:lastModifiedBy>Christopher Gulotta</cp:lastModifiedBy>
  <cp:revision>2</cp:revision>
  <cp:lastPrinted>2013-05-01T11:34:00Z</cp:lastPrinted>
  <dcterms:created xsi:type="dcterms:W3CDTF">2013-05-01T12:52:00Z</dcterms:created>
  <dcterms:modified xsi:type="dcterms:W3CDTF">2013-05-01T12:52:00Z</dcterms:modified>
</cp:coreProperties>
</file>